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r w:rsidRPr="0056227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образования и науки РФ от 30 августа 2013 г. N 1014</w:t>
      </w:r>
      <w:r w:rsidRPr="0056227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bookmarkEnd w:id="0"/>
    <w:p w:rsidR="00562271" w:rsidRPr="00562271" w:rsidRDefault="00562271" w:rsidP="00562271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562271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4" w:anchor="/document/70291362/entry/108190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частью 11 статьи 13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прилагаемый </w:t>
      </w:r>
      <w:hyperlink r:id="rId5" w:anchor="/document/70464980/entry/1000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Порядок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Признать утратившим силу </w:t>
      </w:r>
      <w:hyperlink r:id="rId6" w:anchor="/document/70119644/entry/0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образования и науки Российской Федерации от 27 октября 2011 г. N 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 г., регистрационный N 22946).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62271" w:rsidRPr="00562271" w:rsidTr="00562271">
        <w:tc>
          <w:tcPr>
            <w:tcW w:w="3300" w:type="pct"/>
            <w:shd w:val="clear" w:color="auto" w:fill="FFFFFF"/>
            <w:vAlign w:val="bottom"/>
            <w:hideMark/>
          </w:tcPr>
          <w:p w:rsidR="00562271" w:rsidRPr="00562271" w:rsidRDefault="00562271" w:rsidP="005622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6227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Первый заместитель Министра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62271" w:rsidRPr="00562271" w:rsidRDefault="00562271" w:rsidP="005622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6227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Н.В. Третьяк</w:t>
            </w:r>
          </w:p>
        </w:tc>
      </w:tr>
    </w:tbl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26 сентября 2013 г.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Регистрационный N 30038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  <w:r w:rsidRPr="0056227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56227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7" w:anchor="/document/70464980/entry/0" w:history="1">
        <w:r w:rsidRPr="00562271">
          <w:rPr>
            <w:rFonts w:ascii="Times New Roman" w:eastAsia="Times New Roman" w:hAnsi="Times New Roman" w:cs="Times New Roman"/>
            <w:color w:val="551A8B"/>
            <w:sz w:val="32"/>
            <w:szCs w:val="32"/>
            <w:u w:val="single"/>
            <w:lang w:eastAsia="ru-RU"/>
          </w:rPr>
          <w:t>приказом</w:t>
        </w:r>
      </w:hyperlink>
      <w:r w:rsidRPr="0056227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Министерства образования и науки РФ от 30 августа 2013 г. N 1014)</w:t>
      </w:r>
    </w:p>
    <w:p w:rsidR="00562271" w:rsidRPr="00562271" w:rsidRDefault="00562271" w:rsidP="00562271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562271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I. Общие положения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</w:t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562271" w:rsidRPr="00562271" w:rsidRDefault="00562271" w:rsidP="0056227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 изменен с 6 апреля 2019 г. - </w:t>
      </w:r>
      <w:hyperlink r:id="rId8" w:anchor="/document/72205522/entry/1001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Минпросвещения</w:t>
      </w:r>
      <w:proofErr w:type="spellEnd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21 января 2019 г. N 32</w:t>
      </w:r>
    </w:p>
    <w:p w:rsidR="00562271" w:rsidRPr="00562271" w:rsidRDefault="00562271" w:rsidP="0056227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9" w:anchor="/document/77680569/entry/2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 включая индивидуальных предпринимателей (далее - образовательная организация).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II. Организация и осуществление образовательной деятельности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562271" w:rsidRPr="00562271" w:rsidRDefault="00562271" w:rsidP="0056227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4 изменен с 6 апреля 2019 г. - </w:t>
      </w:r>
      <w:hyperlink r:id="rId10" w:anchor="/document/72205522/entry/1002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Минпросвещения</w:t>
      </w:r>
      <w:proofErr w:type="spellEnd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21 января 2019 г. N 32</w:t>
      </w:r>
    </w:p>
    <w:p w:rsidR="00562271" w:rsidRPr="00562271" w:rsidRDefault="00562271" w:rsidP="0056227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1" w:anchor="/document/77680569/entry/4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hyperlink r:id="rId12" w:anchor="/document/70464980/entry/1111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*(1)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hyperlink r:id="rId13" w:anchor="/document/70464980/entry/2222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*(2)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</w:t>
      </w:r>
      <w:hyperlink r:id="rId14" w:anchor="/document/70464980/entry/3333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*(3)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hyperlink r:id="rId15" w:anchor="/document/70464980/entry/4444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*(4)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11 изменен с 6 апреля 2019 г. - </w:t>
      </w:r>
      <w:hyperlink r:id="rId16" w:anchor="/document/72205522/entry/1005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Минпросвещения</w:t>
      </w:r>
      <w:proofErr w:type="spellEnd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21 января 2019 г. N 32</w:t>
      </w:r>
    </w:p>
    <w:p w:rsidR="00562271" w:rsidRPr="00562271" w:rsidRDefault="00562271" w:rsidP="0056227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7" w:anchor="/document/77680569/entry/11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hyperlink r:id="rId18" w:anchor="/document/70464980/entry/5555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*(5)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hyperlink r:id="rId19" w:anchor="/document/70464980/entry/6666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*(6)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13 изменен с 6 апреля 2019 г. - </w:t>
      </w:r>
      <w:hyperlink r:id="rId20" w:anchor="/document/72205522/entry/1007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Минпросвещения</w:t>
      </w:r>
      <w:proofErr w:type="spellEnd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21 января 2019 г. N 32</w:t>
      </w:r>
    </w:p>
    <w:p w:rsidR="00562271" w:rsidRPr="00562271" w:rsidRDefault="00562271" w:rsidP="0056227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1" w:anchor="/document/77680569/entry/13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</w:t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обеспечивающей коррекцию нарушений развития и социальную адаптацию воспитанников с ограниченными возможностями здоровья.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образовательной организации могут быть организованы также: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562271" w:rsidRPr="00562271" w:rsidRDefault="00562271" w:rsidP="0056227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14 изменен с 6 апреля 2019 г. - </w:t>
      </w:r>
      <w:hyperlink r:id="rId22" w:anchor="/document/72205522/entry/1008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Минпросвещения</w:t>
      </w:r>
      <w:proofErr w:type="spellEnd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21 января 2019 г. N 32</w:t>
      </w:r>
    </w:p>
    <w:p w:rsidR="00562271" w:rsidRPr="00562271" w:rsidRDefault="00562271" w:rsidP="0056227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3" w:anchor="/document/77680569/entry/14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  <w:hyperlink r:id="rId24" w:anchor="/document/70464980/entry/7777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*(7)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562271" w:rsidRPr="00562271" w:rsidRDefault="00562271" w:rsidP="0056227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16 изменен с 6 апреля 2019 г. - </w:t>
      </w:r>
      <w:hyperlink r:id="rId25" w:anchor="/document/72205522/entry/1009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Минпросвещения</w:t>
      </w:r>
      <w:proofErr w:type="spellEnd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21 января 2019 г. N 32</w:t>
      </w:r>
    </w:p>
    <w:p w:rsidR="00562271" w:rsidRPr="00562271" w:rsidRDefault="00562271" w:rsidP="0056227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6" w:anchor="/document/77680569/entry/16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</w:t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абилитации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ребенка-инвалида.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hyperlink r:id="rId27" w:anchor="/document/70464980/entry/8888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*(8)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  <w:hyperlink r:id="rId28" w:anchor="/document/70464980/entry/9999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*(9)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hyperlink r:id="rId29" w:anchor="/document/70464980/entry/1010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*(10)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для детей с ограниченными возможностями здоровья по зрению: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присутствие ассистента, оказывающего ребенку необходимую помощь;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обеспечение выпуска альтернативных форматов печатных материалов (крупный шрифт) или аудиофайлы;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для детей с ограниченными возможностями здоровья по слуху: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обеспечение надлежащими звуковыми средствами воспроизведения информации;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562271" w:rsidRPr="00562271" w:rsidRDefault="00562271" w:rsidP="0056227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20 изменен с 6 апреля 2019 г. - </w:t>
      </w:r>
      <w:hyperlink r:id="rId30" w:anchor="/multilink/70464980/paragraph/1073741911/number/0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Минпросвещения</w:t>
      </w:r>
      <w:proofErr w:type="spellEnd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21 января 2019 г. N 32</w:t>
      </w:r>
    </w:p>
    <w:p w:rsidR="00562271" w:rsidRPr="00562271" w:rsidRDefault="00562271" w:rsidP="0056227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1" w:anchor="/document/77680569/entry/20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hyperlink r:id="rId32" w:anchor="/document/70464980/entry/1011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*(11)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Количество детей в группах компенсирующей направленности не должно превышать: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для детей с фонетико-фонематическими нарушениями речи - 12 детей в возрасте старше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глухих детей - 6 детей для обеих возрастных групп;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слабослышащих детей - 6 детей в возрасте до 3 лет и 8 детей в возрасте старше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слепых детей - 6 детей для обеих возрастных групп;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слабовидящих детей - 6 детей в возрасте до 3 лет и 10 детей в возрасте старше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для детей с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амблиопией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косоглазием - 6 детей в возрасте до 3 лет и 10 детей в возрасте старше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для детей с задержкой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психоречевого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развития - 6 детей в возрасте до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задержкой психического развития - 10 детей в возрасте старше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умственной отсталостью легкой степени - 10 детей в возрасте старше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расстройствами аутистического спектра - 5 детей для обеих возрастных групп;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Количество детей в группах комбинированной направленности не должно превышать: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возрасте до 3 лет - не более 10 детей, в том числе не более 3 детей с ограниченными возможностями здоровья;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возрасте старше 3 лет: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амблиопией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 более 17 детей, в том числе не более 5 детей с задержкой психического развития, для детей с фонетико-фонематическими нарушениями речи.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562271" w:rsidRPr="00562271" w:rsidRDefault="00562271" w:rsidP="0056227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21 изменен с 6 апреля 2019 г. - </w:t>
      </w:r>
      <w:hyperlink r:id="rId33" w:anchor="/document/72205522/entry/1013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Минпросвещения</w:t>
      </w:r>
      <w:proofErr w:type="spellEnd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21 января 2019 г. N 32</w:t>
      </w:r>
    </w:p>
    <w:p w:rsidR="00562271" w:rsidRPr="00562271" w:rsidRDefault="00562271" w:rsidP="0056227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4" w:anchor="/document/77680569/entry/21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олигофренопедагог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тьютор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ассистент (помощник) на каждую группу: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детей с нарушениями зрения (слепых, слабовидящих, с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амблиопией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562271" w:rsidRPr="00562271" w:rsidRDefault="00562271" w:rsidP="0056227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олигофренопедагогога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"http://ivo.garant.ru/" \l "/document/3100000/entry/0" </w:instrText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0E9D3"/>
          <w:lang w:eastAsia="ru-RU"/>
        </w:rPr>
        <w:t>#</w:t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и/или педагога-психолога, не менее 0,5 штатной единицы учителя-логопеда;</w:t>
      </w:r>
    </w:p>
    <w:p w:rsidR="00562271" w:rsidRPr="00562271" w:rsidRDefault="00562271" w:rsidP="00562271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олигофренопедагогога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"http://ivo.garant.ru/" \l "/document/3100000/entry/0" </w:instrText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shd w:val="clear" w:color="auto" w:fill="F0E9D3"/>
          <w:lang w:eastAsia="ru-RU"/>
        </w:rPr>
        <w:t>#</w:t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и/или педагога-психолога, не менее 0,5 штатной единицы учителя-логопеда;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 умственной отсталостью - не менее 1 штатной единицы учителя-дефектолога (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олигофренопедагогога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), не менее 0,5 штатной единицы учителя-логопеда и не менее 1 штатной единицы педагога-психолога;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На каждую группу 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тьютора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олигофренопедагог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сурдопедагог, тифлопедагог), учитель-логопед, педагог-психолог,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тьютор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ассистент (помощник) из расчета 1 штатная единица: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учителя-дефектолога (сурдопедагога, тифлопедагога,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олигофренопедагога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на каждые 5-12 обучающихся с ограниченными возможностями здоровья;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учителя-логопеда на каждые 5-12 обучающихся с ограниченными возможностями здоровья;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педагога-психолога на каждые 20 обучающихся с ограниченными возможностями здоровья;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тьютора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 каждые 1-5 обучающихся с ограниченными возможностями здоровья;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ассистента (помощника) на каждые 1-5 обучающихся с ограниченными возможностями здоровья.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hyperlink r:id="rId35" w:anchor="/document/70464980/entry/1013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*(12)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hyperlink r:id="rId36" w:anchor="/document/70464980/entry/1014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*(13)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</w:t>
      </w:r>
    </w:p>
    <w:p w:rsidR="00562271" w:rsidRPr="00562271" w:rsidRDefault="00562271" w:rsidP="00562271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Сноски изменены с 6 апреля 2019 г. - </w:t>
      </w:r>
      <w:hyperlink r:id="rId37" w:anchor="/multilink/70464980/paragraph/1073741915/number/0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Приказ</w:t>
        </w:r>
      </w:hyperlink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</w:t>
      </w:r>
      <w:proofErr w:type="spellStart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Минпросвещения</w:t>
      </w:r>
      <w:proofErr w:type="spellEnd"/>
      <w:r w:rsidRPr="00562271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России от 21 января 2019 г. N 32</w:t>
      </w:r>
    </w:p>
    <w:p w:rsidR="00562271" w:rsidRPr="00562271" w:rsidRDefault="00562271" w:rsidP="00562271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8" w:anchor="/document/77680569/entry/1111" w:history="1">
        <w:r w:rsidRPr="00562271">
          <w:rPr>
            <w:rFonts w:ascii="Times New Roman" w:eastAsia="Times New Roman" w:hAnsi="Times New Roman" w:cs="Times New Roman"/>
            <w:color w:val="551A8B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*(1) </w:t>
      </w:r>
      <w:hyperlink r:id="rId39" w:anchor="/document/70291362/entry/108758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4 статьи 63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*(2) </w:t>
      </w:r>
      <w:hyperlink r:id="rId40" w:anchor="/document/70291362/entry/108759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5 статьи 63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*(3) </w:t>
      </w:r>
      <w:hyperlink r:id="rId41" w:anchor="/document/70291362/entry/108197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1 статьи 15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*(4) </w:t>
      </w:r>
      <w:hyperlink r:id="rId42" w:anchor="/document/70291362/entry/108170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6 статьи 12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2013 г. N 273-ФЗ "Об образовании в Российской Федерации" (Собрание законодательства Российской Федерации, 2012, N 53, ст. 7598, N 19, ст. 2326).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*(5) </w:t>
      </w:r>
      <w:hyperlink r:id="rId43" w:anchor="/document/70291362/entry/108195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5 статьи 14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*(6) </w:t>
      </w:r>
      <w:hyperlink r:id="rId44" w:anchor="/document/70291362/entry/108761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2 статьи 64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*(7) </w:t>
      </w:r>
      <w:hyperlink r:id="rId45" w:anchor="/document/70291362/entry/108762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3 статьи 64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*(8) </w:t>
      </w:r>
      <w:hyperlink r:id="rId46" w:anchor="/document/70485996/entry/1021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Пункт 21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приказа </w:t>
      </w:r>
      <w:proofErr w:type="spellStart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Минобрнауки</w:t>
      </w:r>
      <w:proofErr w:type="spellEnd"/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России от 20 сентября 2013 г. N 1082 "Об утверждении Положения о психолого-медико-педагогической комиссии" (зарегистрирован Министерством юстиции Российской Федерации 23 октября 2013 г., регистрационный N 30242)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*(9) </w:t>
      </w:r>
      <w:hyperlink r:id="rId47" w:anchor="/document/70291362/entry/108912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10 статьи 79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*(10) </w:t>
      </w:r>
      <w:hyperlink r:id="rId48" w:anchor="/document/70291362/entry/108905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3 статьи 79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*(11) </w:t>
      </w:r>
      <w:hyperlink r:id="rId49" w:anchor="/document/70291362/entry/108906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4 статьи 79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*(12) </w:t>
      </w:r>
      <w:hyperlink r:id="rId50" w:anchor="/document/70291362/entry/108498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5 статьи 41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19, ст. 2326).</w:t>
      </w:r>
    </w:p>
    <w:p w:rsidR="00562271" w:rsidRPr="00562271" w:rsidRDefault="00562271" w:rsidP="005622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*(13) </w:t>
      </w:r>
      <w:hyperlink r:id="rId51" w:anchor="/document/70291362/entry/108499" w:history="1">
        <w:r w:rsidRPr="00562271">
          <w:rPr>
            <w:rFonts w:ascii="Times New Roman" w:eastAsia="Times New Roman" w:hAnsi="Times New Roman" w:cs="Times New Roman"/>
            <w:color w:val="551A8B"/>
            <w:sz w:val="23"/>
            <w:szCs w:val="23"/>
            <w:u w:val="single"/>
            <w:lang w:eastAsia="ru-RU"/>
          </w:rPr>
          <w:t>Часть 6 статьи 41</w:t>
        </w:r>
      </w:hyperlink>
      <w:r w:rsidRPr="0056227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 N 53, ст. 7598; 2013, N 19, ст. 2326).</w:t>
      </w:r>
    </w:p>
    <w:p w:rsidR="00B77BF4" w:rsidRDefault="00B77BF4"/>
    <w:sectPr w:rsidR="00B7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62"/>
    <w:rsid w:val="00562271"/>
    <w:rsid w:val="00B77BF4"/>
    <w:rsid w:val="00E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3019C-D24B-47D9-97F8-8C051F6D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622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622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56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6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2271"/>
    <w:rPr>
      <w:color w:val="0000FF"/>
      <w:u w:val="single"/>
    </w:rPr>
  </w:style>
  <w:style w:type="paragraph" w:customStyle="1" w:styleId="s16">
    <w:name w:val="s_16"/>
    <w:basedOn w:val="a"/>
    <w:rsid w:val="0056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6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6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62271"/>
  </w:style>
  <w:style w:type="paragraph" w:customStyle="1" w:styleId="s22">
    <w:name w:val="s_22"/>
    <w:basedOn w:val="a"/>
    <w:rsid w:val="0056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56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02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4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75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09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21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7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36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77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49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3980</Words>
  <Characters>22691</Characters>
  <Application>Microsoft Office Word</Application>
  <DocSecurity>0</DocSecurity>
  <Lines>189</Lines>
  <Paragraphs>53</Paragraphs>
  <ScaleCrop>false</ScaleCrop>
  <Company/>
  <LinksUpToDate>false</LinksUpToDate>
  <CharactersWithSpaces>26618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2020-02-11T07:01:00Z</dcterms:created>
  <dcterms:modified xsi:type="dcterms:W3CDTF">2020-02-11T07:01:00Z</dcterms:modified>
</cp:coreProperties>
</file>